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12430F" w:rsidRPr="006620E0" w:rsidRDefault="0012430F" w:rsidP="0012430F">
      <w:pPr>
        <w:tabs>
          <w:tab w:val="left" w:pos="36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1.Предмет муниципального ко</w:t>
      </w:r>
      <w:r w:rsidR="00072982">
        <w:rPr>
          <w:rFonts w:ascii="PT Astra Serif" w:eastAsia="PT Astra Serif" w:hAnsi="PT Astra Serif" w:cs="PT Astra Serif"/>
          <w:sz w:val="24"/>
          <w:szCs w:val="24"/>
          <w:lang w:eastAsia="ru-RU"/>
        </w:rPr>
        <w:t>нтракта: поставка офисных кресел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2.Муниципальный заказчик:   Администрация города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Срок поставки товара: с момента подписания 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муниципального контракта по 30.10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.2024 г.</w:t>
      </w:r>
      <w:r w:rsidRPr="006620E0">
        <w:rPr>
          <w:rFonts w:ascii="PT Astra Serif" w:eastAsia="PT Astra Serif" w:hAnsi="PT Astra Serif" w:cs="PT Astra Serif"/>
          <w:sz w:val="24"/>
          <w:szCs w:val="24"/>
          <w:highlight w:val="yellow"/>
          <w:lang w:eastAsia="ru-RU"/>
        </w:rPr>
        <w:t xml:space="preserve">  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4. Срок и условия оплаты: единовременный платёж в течение 7 (семи) рабочих дней </w:t>
      </w:r>
      <w:proofErr w:type="gram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структурированного документа о приёмке.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</w:t>
      </w:r>
      <w:proofErr w:type="gram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Место поставки: 628260, г.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, Ханты - Мансийский автономный округ - Югра, ул. 40 лет Победы, д. 11. </w:t>
      </w:r>
      <w:proofErr w:type="gramEnd"/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7. Гарантийные обязательства: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7.1.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Срок, на который предоставляется гарантия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не менее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18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.2.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гарантии производителя товара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срок действия такой гарантии должен быть: не менее 12 (двенадцати) месяцев 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.3.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Информация о требованиях к гарантийному обслуживанию товаров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.4.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Объём предоставления гарантий качества товаров, работ услуг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на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основное изделие и начинает течь одновременно с гарантийным сроком на основное изделие.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.5.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Порядок предоставления обеспечения, требования к обеспечению гарантийных обязательств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ии ау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8. </w:t>
      </w:r>
      <w:r w:rsidRPr="0052386B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товару</w:t>
      </w: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Товар должен быть новым (не бывшим в употреблении, не прошедшим ремонт, в </w:t>
      </w:r>
      <w:proofErr w:type="spell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т.ч</w:t>
      </w:r>
      <w:proofErr w:type="spell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указанным</w:t>
      </w:r>
      <w:proofErr w:type="gram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в гарантийном талоне.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 должен соответствовать документации производителя.</w:t>
      </w:r>
    </w:p>
    <w:tbl>
      <w:tblPr>
        <w:tblStyle w:val="af8"/>
        <w:tblW w:w="10550" w:type="dxa"/>
        <w:tblInd w:w="108" w:type="dxa"/>
        <w:tblLook w:val="04A0" w:firstRow="1" w:lastRow="0" w:firstColumn="1" w:lastColumn="0" w:noHBand="0" w:noVBand="1"/>
      </w:tblPr>
      <w:tblGrid>
        <w:gridCol w:w="993"/>
        <w:gridCol w:w="1780"/>
        <w:gridCol w:w="6866"/>
        <w:gridCol w:w="911"/>
      </w:tblGrid>
      <w:tr w:rsidR="00B22604" w:rsidRPr="00B22604" w:rsidTr="00072982">
        <w:tc>
          <w:tcPr>
            <w:tcW w:w="993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1780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Код КТРУ или ОКПД 2</w:t>
            </w:r>
          </w:p>
        </w:tc>
        <w:tc>
          <w:tcPr>
            <w:tcW w:w="6866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Наименование и описание объекта закупки</w:t>
            </w:r>
          </w:p>
        </w:tc>
        <w:tc>
          <w:tcPr>
            <w:tcW w:w="911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Кол-во</w:t>
            </w:r>
          </w:p>
        </w:tc>
      </w:tr>
      <w:tr w:rsidR="00B22604" w:rsidRPr="00B22604" w:rsidTr="00072982">
        <w:tc>
          <w:tcPr>
            <w:tcW w:w="993" w:type="dxa"/>
          </w:tcPr>
          <w:p w:rsidR="00B22604" w:rsidRPr="00B22604" w:rsidRDefault="00B22604" w:rsidP="00B22604">
            <w:pPr>
              <w:numPr>
                <w:ilvl w:val="0"/>
                <w:numId w:val="3"/>
              </w:numPr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Hlk141883396"/>
          </w:p>
        </w:tc>
        <w:tc>
          <w:tcPr>
            <w:tcW w:w="1780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Кресло офисное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31.01.12.160-00000005 </w:t>
            </w:r>
          </w:p>
        </w:tc>
        <w:tc>
          <w:tcPr>
            <w:tcW w:w="6866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Обязательные характеристики: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Вид материала обивки спинки: </w:t>
            </w:r>
            <w:proofErr w:type="spell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экокожа</w:t>
            </w:r>
            <w:proofErr w:type="spellEnd"/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Вид материала обивки сидения: </w:t>
            </w:r>
            <w:proofErr w:type="spell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экокожа</w:t>
            </w:r>
            <w:proofErr w:type="spellEnd"/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Тип каркаса: металлический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Назначение:  для руководителей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Не обязательные характеристики: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механизма регулировки по высоте: 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подлокотников: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Регулировка угла наклона: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подголовника: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Ортопедическое основание: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Дополнительные характеристики: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Высота сидения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:  ≥470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≤</w:t>
            </w:r>
            <w:r w:rsidRPr="00B22604">
              <w:rPr>
                <w:rFonts w:ascii="PT Astra Serif" w:hAnsi="PT Astra Serif" w:cs="PT Astra Serif"/>
                <w:sz w:val="28"/>
                <w:szCs w:val="28"/>
              </w:rPr>
              <w:t>580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Высота спинки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>: ≥700 мм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Глубина сидения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: ≥ 500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≤</w:t>
            </w: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 520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Максимальная нагрузка на кресло: ≥ 120 кг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Механизм качания: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Материал крестовины: хромированный металл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11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bookmarkEnd w:id="0"/>
    </w:tbl>
    <w:p w:rsidR="00B22604" w:rsidRDefault="00B22604" w:rsidP="00410BCE">
      <w:pPr>
        <w:tabs>
          <w:tab w:val="left" w:pos="567"/>
        </w:tabs>
        <w:rPr>
          <w:rFonts w:ascii="PT Astra Serif" w:hAnsi="PT Astra Serif" w:cs="PT Astra Serif"/>
          <w:sz w:val="28"/>
          <w:szCs w:val="28"/>
        </w:rPr>
      </w:pPr>
    </w:p>
    <w:p w:rsidR="00B22604" w:rsidRDefault="008D3B3E" w:rsidP="00B22604">
      <w:pPr>
        <w:tabs>
          <w:tab w:val="left" w:pos="567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 w:rsidR="00410BCE" w:rsidRPr="00BD225D">
        <w:rPr>
          <w:rFonts w:ascii="PT Astra Serif" w:hAnsi="PT Astra Serif" w:cs="PT Astra Serif"/>
          <w:sz w:val="20"/>
          <w:szCs w:val="20"/>
        </w:rPr>
        <w:t>Согласно пунктам 5 и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от 08.02.2017 № 145,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</w:t>
      </w:r>
      <w:proofErr w:type="gramEnd"/>
      <w:r w:rsidR="00410BCE" w:rsidRPr="00BD225D">
        <w:rPr>
          <w:rFonts w:ascii="PT Astra Serif" w:hAnsi="PT Astra Serif" w:cs="PT Astra Serif"/>
          <w:sz w:val="20"/>
          <w:szCs w:val="20"/>
        </w:rPr>
        <w:t xml:space="preserve"> Федерального закона от 05.04.2013 № 44-ФЗ.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</w:t>
      </w:r>
    </w:p>
    <w:p w:rsidR="00B22604" w:rsidRDefault="00B22604" w:rsidP="00B22604">
      <w:pPr>
        <w:tabs>
          <w:tab w:val="left" w:pos="567"/>
        </w:tabs>
        <w:rPr>
          <w:rFonts w:ascii="PT Astra Serif" w:hAnsi="PT Astra Serif" w:cs="PT Astra Serif"/>
          <w:sz w:val="20"/>
          <w:szCs w:val="20"/>
        </w:rPr>
      </w:pPr>
    </w:p>
    <w:p w:rsidR="00B22604" w:rsidRPr="00FA72A9" w:rsidRDefault="00FA72A9" w:rsidP="00B22604">
      <w:pPr>
        <w:tabs>
          <w:tab w:val="left" w:pos="567"/>
        </w:tabs>
        <w:rPr>
          <w:rFonts w:ascii="PT Astra Serif" w:hAnsi="PT Astra Serif" w:cs="PT Astra Serif"/>
          <w:sz w:val="24"/>
          <w:szCs w:val="24"/>
        </w:rPr>
      </w:pPr>
      <w:bookmarkStart w:id="1" w:name="_GoBack"/>
      <w:r w:rsidRPr="00FA72A9">
        <w:rPr>
          <w:rFonts w:ascii="PT Astra Serif" w:hAnsi="PT Astra Serif" w:cs="PT Astra Serif"/>
          <w:sz w:val="24"/>
          <w:szCs w:val="24"/>
        </w:rPr>
        <w:t xml:space="preserve">             Заместитель начальника отдела                                                                     Е.В. Крылова</w:t>
      </w:r>
    </w:p>
    <w:bookmarkEnd w:id="1"/>
    <w:p w:rsidR="00FA72A9" w:rsidRPr="00FA72A9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  <w:t xml:space="preserve"> </w:t>
      </w:r>
    </w:p>
    <w:p w:rsidR="00BF6989" w:rsidRPr="00FA72A9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>Заведующий  по АХР                                                                Д.В. Питиримов</w:t>
      </w:r>
    </w:p>
    <w:sectPr w:rsidR="00BF6989" w:rsidRPr="00FA72A9">
      <w:footerReference w:type="default" r:id="rId8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91" w:rsidRDefault="00E56D91">
      <w:pPr>
        <w:spacing w:after="0" w:line="240" w:lineRule="auto"/>
      </w:pPr>
      <w:r>
        <w:separator/>
      </w:r>
    </w:p>
  </w:endnote>
  <w:endnote w:type="continuationSeparator" w:id="0">
    <w:p w:rsidR="00E56D91" w:rsidRDefault="00E5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A9">
          <w:rPr>
            <w:noProof/>
          </w:rPr>
          <w:t>2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91" w:rsidRDefault="00E56D91">
      <w:pPr>
        <w:spacing w:after="0" w:line="240" w:lineRule="auto"/>
      </w:pPr>
      <w:r>
        <w:separator/>
      </w:r>
    </w:p>
  </w:footnote>
  <w:footnote w:type="continuationSeparator" w:id="0">
    <w:p w:rsidR="00E56D91" w:rsidRDefault="00E5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72982"/>
    <w:rsid w:val="0009120D"/>
    <w:rsid w:val="0012430F"/>
    <w:rsid w:val="0029187B"/>
    <w:rsid w:val="00295564"/>
    <w:rsid w:val="002C35BF"/>
    <w:rsid w:val="002C52AE"/>
    <w:rsid w:val="002E0EEE"/>
    <w:rsid w:val="003317D7"/>
    <w:rsid w:val="003D1705"/>
    <w:rsid w:val="00410BCE"/>
    <w:rsid w:val="00466F13"/>
    <w:rsid w:val="00496D16"/>
    <w:rsid w:val="00497625"/>
    <w:rsid w:val="004D701D"/>
    <w:rsid w:val="00512181"/>
    <w:rsid w:val="005C044C"/>
    <w:rsid w:val="005F3281"/>
    <w:rsid w:val="00656DF4"/>
    <w:rsid w:val="006C7BDA"/>
    <w:rsid w:val="006E2B04"/>
    <w:rsid w:val="007143FE"/>
    <w:rsid w:val="007728D0"/>
    <w:rsid w:val="0082291A"/>
    <w:rsid w:val="00865C25"/>
    <w:rsid w:val="00876629"/>
    <w:rsid w:val="008C1EF1"/>
    <w:rsid w:val="008D3B3E"/>
    <w:rsid w:val="009022B0"/>
    <w:rsid w:val="009219A9"/>
    <w:rsid w:val="009357EE"/>
    <w:rsid w:val="009D44FE"/>
    <w:rsid w:val="00A5722A"/>
    <w:rsid w:val="00AE6F9E"/>
    <w:rsid w:val="00B006D3"/>
    <w:rsid w:val="00B22604"/>
    <w:rsid w:val="00B3789D"/>
    <w:rsid w:val="00B43631"/>
    <w:rsid w:val="00BC13C5"/>
    <w:rsid w:val="00BD225D"/>
    <w:rsid w:val="00BF6989"/>
    <w:rsid w:val="00C31518"/>
    <w:rsid w:val="00CB4B1C"/>
    <w:rsid w:val="00CD57E9"/>
    <w:rsid w:val="00CD6B02"/>
    <w:rsid w:val="00DD06B9"/>
    <w:rsid w:val="00E44B13"/>
    <w:rsid w:val="00E56D91"/>
    <w:rsid w:val="00E926EB"/>
    <w:rsid w:val="00EC007E"/>
    <w:rsid w:val="00F41E2F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dc:description/>
  <cp:lastModifiedBy>Павлова Татьяна Сергеевна</cp:lastModifiedBy>
  <cp:revision>66</cp:revision>
  <cp:lastPrinted>2024-09-09T09:39:00Z</cp:lastPrinted>
  <dcterms:created xsi:type="dcterms:W3CDTF">2017-04-18T10:29:00Z</dcterms:created>
  <dcterms:modified xsi:type="dcterms:W3CDTF">2024-09-09T09:40:00Z</dcterms:modified>
</cp:coreProperties>
</file>